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" w:eastAsia="zh-CN"/>
        </w:rPr>
        <w:t xml:space="preserve">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选医疗责任保险经纪人评分表</w:t>
      </w:r>
    </w:p>
    <w:bookmarkEnd w:id="0"/>
    <w:tbl>
      <w:tblPr>
        <w:tblStyle w:val="4"/>
        <w:tblW w:w="4999" w:type="pct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342"/>
        <w:gridCol w:w="1378"/>
        <w:gridCol w:w="6333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741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1"/>
                <w:szCs w:val="21"/>
              </w:rPr>
            </w:pPr>
            <w:r>
              <w:rPr>
                <w:rStyle w:val="6"/>
                <w:rFonts w:hint="eastAsia" w:ascii="黑体" w:hAnsi="黑体" w:eastAsia="黑体" w:cs="黑体"/>
                <w:b w:val="0"/>
                <w:bCs/>
                <w:sz w:val="21"/>
                <w:szCs w:val="21"/>
              </w:rPr>
              <w:t>评分指标</w:t>
            </w:r>
          </w:p>
        </w:tc>
        <w:tc>
          <w:tcPr>
            <w:tcW w:w="761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1"/>
                <w:szCs w:val="21"/>
              </w:rPr>
            </w:pPr>
            <w:r>
              <w:rPr>
                <w:rStyle w:val="6"/>
                <w:rFonts w:hint="eastAsia" w:ascii="黑体" w:hAnsi="黑体" w:eastAsia="黑体" w:cs="黑体"/>
                <w:b w:val="0"/>
                <w:bCs/>
                <w:sz w:val="21"/>
                <w:szCs w:val="21"/>
              </w:rPr>
              <w:t>评审项目</w:t>
            </w:r>
          </w:p>
        </w:tc>
        <w:tc>
          <w:tcPr>
            <w:tcW w:w="3496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1"/>
                <w:szCs w:val="21"/>
              </w:rPr>
            </w:pPr>
            <w:r>
              <w:rPr>
                <w:rStyle w:val="6"/>
                <w:rFonts w:hint="eastAsia" w:ascii="黑体" w:hAnsi="黑体" w:eastAsia="黑体" w:cs="黑体"/>
                <w:b w:val="0"/>
                <w:bCs/>
                <w:sz w:val="21"/>
                <w:szCs w:val="21"/>
              </w:rPr>
              <w:t>评审内容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55" w:hRule="atLeast"/>
        </w:trPr>
        <w:tc>
          <w:tcPr>
            <w:tcW w:w="741" w:type="pct"/>
            <w:vMerge w:val="restar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商务部分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45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分）</w:t>
            </w:r>
          </w:p>
        </w:tc>
        <w:tc>
          <w:tcPr>
            <w:tcW w:w="761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服务履约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保障能力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15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分）</w:t>
            </w:r>
          </w:p>
        </w:tc>
        <w:tc>
          <w:tcPr>
            <w:tcW w:w="3496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Style w:val="6"/>
                <w:rFonts w:hint="default" w:ascii="方正仿宋_GBK" w:hAnsi="方正仿宋_GBK" w:eastAsia="方正仿宋_GBK" w:cs="方正仿宋_GBK"/>
                <w:sz w:val="21"/>
                <w:szCs w:val="21"/>
                <w:lang w:val="en-US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1.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注册资本金</w:t>
            </w:r>
            <w:r>
              <w:rPr>
                <w:rStyle w:val="6"/>
                <w:rFonts w:hint="eastAsia" w:ascii="东文宋体" w:hAnsi="东文宋体" w:eastAsia="东文宋体" w:cs="东文宋体"/>
                <w:sz w:val="21"/>
                <w:szCs w:val="21"/>
              </w:rPr>
              <w:t>≥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5000万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（得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2分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）；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注册资本金</w:t>
            </w:r>
            <w:r>
              <w:rPr>
                <w:rStyle w:val="6"/>
                <w:rFonts w:hint="eastAsia" w:ascii="东文宋体" w:hAnsi="东文宋体" w:eastAsia="东文宋体" w:cs="东文宋体"/>
                <w:sz w:val="21"/>
                <w:szCs w:val="21"/>
              </w:rPr>
              <w:t>≥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10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000万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（得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3分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）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；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注册资本金</w:t>
            </w:r>
            <w:r>
              <w:rPr>
                <w:rStyle w:val="6"/>
                <w:rFonts w:hint="eastAsia" w:ascii="东文宋体" w:hAnsi="东文宋体" w:eastAsia="东文宋体" w:cs="东文宋体"/>
                <w:sz w:val="21"/>
                <w:szCs w:val="21"/>
              </w:rPr>
              <w:t>≥</w:t>
            </w:r>
            <w:r>
              <w:rPr>
                <w:rStyle w:val="6"/>
                <w:rFonts w:hint="eastAsia" w:ascii="东文宋体" w:hAnsi="东文宋体" w:eastAsia="东文宋体" w:cs="东文宋体"/>
                <w:sz w:val="21"/>
                <w:szCs w:val="21"/>
                <w:lang w:val="en-US" w:eastAsia="zh-CN"/>
              </w:rPr>
              <w:t>1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5000万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（得</w:t>
            </w:r>
            <w:r>
              <w:rPr>
                <w:rStyle w:val="6"/>
                <w:rFonts w:hint="default" w:ascii="方正仿宋_GBK" w:hAnsi="方正仿宋_GBK" w:eastAsia="方正仿宋_GBK" w:cs="方正仿宋_GBK"/>
                <w:sz w:val="21"/>
                <w:szCs w:val="21"/>
                <w:lang w:val="en" w:eastAsia="zh-CN"/>
              </w:rPr>
              <w:t>5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分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）</w:t>
            </w:r>
          </w:p>
          <w:p>
            <w:pPr>
              <w:pStyle w:val="3"/>
              <w:keepNext/>
              <w:keepLines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2.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依法缴存保证金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或投保职业责任保险（得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3分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）；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Style w:val="6"/>
                <w:rFonts w:hint="default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3.近三年财务状况，连续盈利得5分，两年盈利3分，其他不得分；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4.投保责任险单次赔偿限额大于1000万元小于2000万元的得1分，大于2000万的得2分；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default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提供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营业执照、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有效职业责任保险凭证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、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保单复印件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、近三年财务会计报表（审计报告）相关页扫描件等，均需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加盖公章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73" w:hRule="atLeast"/>
        </w:trPr>
        <w:tc>
          <w:tcPr>
            <w:tcW w:w="741" w:type="pct"/>
            <w:vMerge w:val="continue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761" w:type="pct"/>
            <w:vMerge w:val="restar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服务机构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保障能力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（10分）</w:t>
            </w:r>
          </w:p>
        </w:tc>
        <w:tc>
          <w:tcPr>
            <w:tcW w:w="3496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1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.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服务机构设置（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分）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参选人在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属地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内设有服务机构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或服务团队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，未在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属地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设置但承诺中选后30天月内在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属地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设置的，提供承诺书，未提供不得分。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以提供服务机构营业执照复印件加盖公章或承诺函证明材料为依据。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0" w:hRule="atLeast"/>
        </w:trPr>
        <w:tc>
          <w:tcPr>
            <w:tcW w:w="741" w:type="pct"/>
            <w:vMerge w:val="continue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761" w:type="pct"/>
            <w:vMerge w:val="continue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3496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eastAsia="zh-CN"/>
              </w:rPr>
              <w:t>.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调解组织能力（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分）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参选人具有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理赔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调解组织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协同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能力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、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经验，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有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1个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地市开展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调解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理赔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组织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服务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得1分，最多不超过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分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。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提供相关证明材料复印件加盖公章为依据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7" w:hRule="atLeast"/>
        </w:trPr>
        <w:tc>
          <w:tcPr>
            <w:tcW w:w="741" w:type="pct"/>
            <w:vMerge w:val="continue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761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服务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团队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保障能力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（10分）</w:t>
            </w:r>
          </w:p>
        </w:tc>
        <w:tc>
          <w:tcPr>
            <w:tcW w:w="3496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right="0" w:rightChars="0" w:firstLine="421" w:firstLineChars="20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val="en-US" w:eastAsia="zh-CN"/>
              </w:rPr>
              <w:t>1.项目组织架构合理、人员职责分工明确（得5分）。横向比较，优秀得5分，良好3分，一般得1分；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right="0" w:rightChars="0" w:firstLine="421" w:firstLineChars="20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val="en-US" w:eastAsia="zh-CN"/>
              </w:rPr>
              <w:t>2.项目负责人员具有从事保险、医学或法学专业本科以上学历和10年以上工作经历（3分），服务本地的人员每有一人符合得1分，最高得3分；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1"/>
                <w:szCs w:val="21"/>
                <w:lang w:val="en-US" w:eastAsia="zh-CN"/>
              </w:rPr>
              <w:t>3.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具有7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*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24小时电话服务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与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互联网信息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服务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能力（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2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分）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。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清单列明，并提供相关证明材料复印件（如协议等）。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5" w:hRule="atLeast"/>
        </w:trPr>
        <w:tc>
          <w:tcPr>
            <w:tcW w:w="741" w:type="pct"/>
            <w:vMerge w:val="continue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761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服务项目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经验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0分）</w:t>
            </w:r>
          </w:p>
        </w:tc>
        <w:tc>
          <w:tcPr>
            <w:tcW w:w="3496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提供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近三年内责任险项目业绩，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每有一个项目得2分，最高不超过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10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分；以相关合同或协议等复印件为依据。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0" w:hRule="atLeast"/>
        </w:trPr>
        <w:tc>
          <w:tcPr>
            <w:tcW w:w="741" w:type="pct"/>
            <w:vMerge w:val="restar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技术部分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5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分）</w:t>
            </w:r>
          </w:p>
        </w:tc>
        <w:tc>
          <w:tcPr>
            <w:tcW w:w="761" w:type="pct"/>
            <w:vMerge w:val="restar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  <w:t>医疗风险分担机制建立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  <w:t>（</w:t>
            </w:r>
            <w:r>
              <w:rPr>
                <w:rStyle w:val="6"/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  <w:lang w:val="en-US" w:eastAsia="zh-CN"/>
              </w:rPr>
              <w:t>10</w:t>
            </w:r>
            <w:r>
              <w:rPr>
                <w:rStyle w:val="6"/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  <w:t>分）</w:t>
            </w:r>
          </w:p>
        </w:tc>
        <w:tc>
          <w:tcPr>
            <w:tcW w:w="3496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  <w:lang w:val="en-US" w:eastAsia="zh-CN"/>
              </w:rPr>
              <w:t>1.</w:t>
            </w:r>
            <w:r>
              <w:rPr>
                <w:rStyle w:val="6"/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  <w:t>对</w:t>
            </w:r>
            <w:r>
              <w:rPr>
                <w:rStyle w:val="6"/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  <w:lang w:val="en-US" w:eastAsia="zh-CN"/>
              </w:rPr>
              <w:t>周口</w:t>
            </w:r>
            <w:r>
              <w:rPr>
                <w:rStyle w:val="6"/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  <w:t>市医疗机构医疗风险现状的认识</w:t>
            </w:r>
            <w:r>
              <w:rPr>
                <w:rStyle w:val="6"/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  <w:lang w:eastAsia="zh-CN"/>
              </w:rPr>
              <w:t>、</w:t>
            </w:r>
            <w:r>
              <w:rPr>
                <w:rStyle w:val="6"/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  <w:t>分析及建立风险分担机制的方案措施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5分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）</w:t>
            </w:r>
            <w:r>
              <w:rPr>
                <w:rStyle w:val="6"/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  <w:t>。视认识和分析程度及分风险分担机制措施的客观准确完整程度而定。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8" w:hRule="atLeast"/>
        </w:trPr>
        <w:tc>
          <w:tcPr>
            <w:tcW w:w="741" w:type="pct"/>
            <w:vMerge w:val="continue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761" w:type="pct"/>
            <w:vMerge w:val="continue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</w:p>
        </w:tc>
        <w:tc>
          <w:tcPr>
            <w:tcW w:w="3496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420" w:leftChars="0" w:right="0" w:rightChars="0"/>
              <w:jc w:val="both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2.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组建医疗责任险共保体（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5分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）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right="0" w:rightChars="0" w:firstLine="421" w:firstLineChars="200"/>
              <w:jc w:val="both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color w:val="auto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提供联合多家保险公司组建医疗责任险共保体，分散风险、提升承保能力的方案。视组建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方案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合理性、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可操作性而定。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7" w:hRule="atLeast"/>
        </w:trPr>
        <w:tc>
          <w:tcPr>
            <w:tcW w:w="741" w:type="pct"/>
            <w:vMerge w:val="continue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761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医疗纠纷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处置实施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15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分）</w:t>
            </w:r>
          </w:p>
        </w:tc>
        <w:tc>
          <w:tcPr>
            <w:tcW w:w="3496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1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.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完善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周口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市医疗纠纷处置模式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4分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）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；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2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.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健全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周口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市医疗纠纷调解组织体系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4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分）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；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3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.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医疗纠纷调解服务及调解组织运行保障措施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4分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）；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4.突发事件应急处置服务（3分）；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提供医疗纠纷调解体系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的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管理服务方案，包括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服务流程、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专家库建设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、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医疗纠纷调解案件的信息化管理服务等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，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视服务方案完整性、可操作性等程度而定。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提供应急情况处置方案（例如出现恶性或突发紧急医疗纠纷等），视方案内容全面、有效、日常预防机制是否完善等程度而定。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0" w:hRule="atLeast"/>
        </w:trPr>
        <w:tc>
          <w:tcPr>
            <w:tcW w:w="741" w:type="pct"/>
            <w:vMerge w:val="continue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761" w:type="pct"/>
            <w:vMerge w:val="restar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保险经纪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服务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15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分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）</w:t>
            </w:r>
          </w:p>
        </w:tc>
        <w:tc>
          <w:tcPr>
            <w:tcW w:w="3496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1.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保险产品服务方案（5分）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参选人设计的保险产品方案能够满足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周口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市医疗机构风险分担需求。视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方案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合理、高效、实用程度而定。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7" w:hRule="atLeast"/>
        </w:trPr>
        <w:tc>
          <w:tcPr>
            <w:tcW w:w="741" w:type="pct"/>
            <w:vMerge w:val="continue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761" w:type="pct"/>
            <w:vMerge w:val="continue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3496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2.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保险采购服务方案（5分）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参选人设计的保险采购方案，能充分体现保险经纪人的专业技术水平，且安排合理具有可操作性。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视保险采购方案的科学合理及可操作性而定。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5" w:hRule="atLeast"/>
        </w:trPr>
        <w:tc>
          <w:tcPr>
            <w:tcW w:w="741" w:type="pct"/>
            <w:vMerge w:val="continue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761" w:type="pct"/>
            <w:vMerge w:val="continue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3496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3.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理赔服务方案（5分）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提供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险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理赔服务方案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，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做好医疗机构、调解组织、保险公司等相关单位的协调工作。视服务方案的合理性和实效性、服务架构完整、服务机制健全、人员匹配到位情况而立定。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5" w:hRule="atLeast"/>
        </w:trPr>
        <w:tc>
          <w:tcPr>
            <w:tcW w:w="741" w:type="pct"/>
            <w:vMerge w:val="continue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761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医疗纠纷预防服务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分）</w:t>
            </w:r>
          </w:p>
        </w:tc>
        <w:tc>
          <w:tcPr>
            <w:tcW w:w="3496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结合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周口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市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医疗纠纷发生与处理难点问题，提供医疗机构医疗风险预防服务方案。视服务方案的完整性、可行作性及有效性而定。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2" w:hRule="atLeast"/>
        </w:trPr>
        <w:tc>
          <w:tcPr>
            <w:tcW w:w="741" w:type="pct"/>
            <w:vMerge w:val="continue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761" w:type="pct"/>
            <w:vMerge w:val="restar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eastAsia="zh-CN"/>
              </w:rPr>
              <w:t>履约服务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eastAsia="zh-CN"/>
              </w:rPr>
              <w:t>监督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val="en-US" w:eastAsia="zh-CN"/>
              </w:rPr>
              <w:t>5分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3496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val="en-US" w:eastAsia="zh-CN"/>
              </w:rPr>
              <w:t>1.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eastAsia="zh-CN"/>
              </w:rPr>
              <w:t>调解组织服务质量监督：参选人以促进调解组织提升服务质量为目的，从维护医患双方合法权益、调赔机制结合情况等方面制定服务质量监督考核方案。视方案完整性、可操作性而定。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</w:trPr>
        <w:tc>
          <w:tcPr>
            <w:tcW w:w="741" w:type="pct"/>
            <w:vMerge w:val="continue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761" w:type="pct"/>
            <w:vMerge w:val="continue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</w:pPr>
          </w:p>
        </w:tc>
        <w:tc>
          <w:tcPr>
            <w:tcW w:w="3496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val="en-US" w:eastAsia="zh-CN"/>
              </w:rPr>
              <w:t>2.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1"/>
                <w:szCs w:val="21"/>
                <w:lang w:eastAsia="zh-CN"/>
              </w:rPr>
              <w:t>保险机构服务质量监督：参选人以促进保险公司履约服务为目的，从客户满意度、理赔处理效率、质量等方面制定服务质量监督考核方案。视方案完整性、可操作性而定。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48" w:hRule="atLeast"/>
        </w:trPr>
        <w:tc>
          <w:tcPr>
            <w:tcW w:w="741" w:type="pct"/>
            <w:vMerge w:val="continue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</w:p>
        </w:tc>
        <w:tc>
          <w:tcPr>
            <w:tcW w:w="761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现场讲解与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答辩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分）</w:t>
            </w:r>
          </w:p>
        </w:tc>
        <w:tc>
          <w:tcPr>
            <w:tcW w:w="3496" w:type="pct"/>
            <w:tcBorders>
              <w:tl2br w:val="nil"/>
              <w:tr2bl w:val="nil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right="0" w:firstLine="421" w:firstLineChars="200"/>
              <w:jc w:val="both"/>
              <w:textAlignment w:val="auto"/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项目负责人讲解整体方案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（口述、多媒体等方式不限，时长不超过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10分钟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），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并回答评委提问，完全符合要求的得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val="en-US" w:eastAsia="zh-CN"/>
              </w:rPr>
              <w:t>5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分；每有一处不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  <w:lang w:eastAsia="zh-CN"/>
              </w:rPr>
              <w:t>符合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扣0.5分，扣完为止；</w:t>
            </w:r>
          </w:p>
          <w:p>
            <w:pPr>
              <w:pStyle w:val="3"/>
              <w:keepNext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42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sz w:val="21"/>
                <w:szCs w:val="21"/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1"/>
                <w:szCs w:val="21"/>
              </w:rPr>
              <w:t>未参与现场讲解和答辩的不得分。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pStyle w:val="3"/>
        <w:keepNext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420"/>
        <w:jc w:val="both"/>
        <w:textAlignment w:val="auto"/>
        <w:rPr>
          <w:rFonts w:hint="eastAsia" w:ascii="方正黑体_GBK" w:hAnsi="方正黑体_GBK" w:eastAsia="方正黑体_GBK" w:cs="方正黑体_GBK"/>
          <w:b w:val="0"/>
          <w:bCs/>
        </w:rPr>
      </w:pPr>
      <w:r>
        <w:rPr>
          <w:rStyle w:val="6"/>
          <w:rFonts w:hint="eastAsia" w:ascii="方正黑体_GBK" w:hAnsi="方正黑体_GBK" w:eastAsia="方正黑体_GBK" w:cs="方正黑体_GBK"/>
          <w:b w:val="0"/>
          <w:bCs/>
          <w:i w:val="0"/>
          <w:caps w:val="0"/>
          <w:color w:val="333333"/>
          <w:spacing w:val="0"/>
          <w:sz w:val="21"/>
          <w:szCs w:val="21"/>
        </w:rPr>
        <w:t>注：参选人为总公司的分支机构，其总公司及其分支机构的相关证明均可作为有效资料。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2312">
    <w:altName w:val="楷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东文宋体">
    <w:altName w:val="方正书宋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A36C01"/>
    <w:rsid w:val="221D67C9"/>
    <w:rsid w:val="30224646"/>
    <w:rsid w:val="3E5809D9"/>
    <w:rsid w:val="4C911564"/>
    <w:rsid w:val="533B73A7"/>
    <w:rsid w:val="5A2301F7"/>
    <w:rsid w:val="5B77182F"/>
    <w:rsid w:val="5DB962D0"/>
    <w:rsid w:val="604C56BD"/>
    <w:rsid w:val="78347825"/>
    <w:rsid w:val="79FF570F"/>
    <w:rsid w:val="7D77109D"/>
    <w:rsid w:val="7E0C4B77"/>
    <w:rsid w:val="F2D6AE7B"/>
    <w:rsid w:val="FEFDA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2957</Words>
  <Characters>3066</Characters>
  <Lines>0</Lines>
  <Paragraphs>0</Paragraphs>
  <TotalTime>4</TotalTime>
  <ScaleCrop>false</ScaleCrop>
  <LinksUpToDate>false</LinksUpToDate>
  <CharactersWithSpaces>3087</CharactersWithSpaces>
  <Application>WPS Office_11.8.2.10458_F1E327BC-269C-435d-A152-05C5408002CA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2026-02-09T16:20:00Z</dcterms:created>
  <dc:creator>Administrator</dc:creator>
  <cp:lastModifiedBy>user</cp:lastModifiedBy>
  <dcterms:modified xsi:type="dcterms:W3CDTF">2026-03-10T12:04:43Z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  <property fmtid="{D5CDD505-2E9C-101B-9397-08002B2CF9AE}" pid="3" name="KSOTemplateDocerSaveRecord">
    <vt:lpwstr>eyJoZGlkIjoiNjFmYTFmOWRkYTQyNGFmYmZhNWIzYmJkNzY3MDg2YzciLCJ1c2VySWQiOiIxMTk5NzY1Njg2In0=</vt:lpwstr>
  </property>
  <property fmtid="{D5CDD505-2E9C-101B-9397-08002B2CF9AE}" pid="4" name="ICV">
    <vt:lpwstr>2F228E8522BD45E595DABD6F3792AD9A_13</vt:lpwstr>
  </property>
</Properties>
</file>